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630" w14:textId="614DC399" w:rsidR="00562DE9" w:rsidRPr="00DC2137" w:rsidRDefault="00562DE9" w:rsidP="00562DE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C213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Risk assessment for </w:t>
      </w:r>
      <w:r w:rsidR="00027F3E">
        <w:rPr>
          <w:rFonts w:ascii="Arial" w:hAnsi="Arial" w:cs="Arial"/>
          <w:b/>
          <w:bCs/>
          <w:color w:val="000000" w:themeColor="text1"/>
          <w:sz w:val="36"/>
          <w:szCs w:val="36"/>
        </w:rPr>
        <w:t>Digital Grapefruit</w:t>
      </w:r>
    </w:p>
    <w:p w14:paraId="26CC94A0" w14:textId="2BDFF2EC" w:rsidR="00562DE9" w:rsidRPr="00DC2137" w:rsidRDefault="00562DE9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97706D3" w14:textId="4074E282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Assessment carried out by:</w:t>
      </w:r>
      <w:r w:rsidR="00DC2137" w:rsidRPr="00DC2137">
        <w:rPr>
          <w:rFonts w:ascii="Arial" w:hAnsi="Arial" w:cs="Arial"/>
          <w:color w:val="000000" w:themeColor="text1"/>
        </w:rPr>
        <w:t xml:space="preserve"> </w:t>
      </w:r>
      <w:proofErr w:type="spellStart"/>
      <w:r w:rsidR="00027F3E">
        <w:rPr>
          <w:rFonts w:ascii="Arial" w:hAnsi="Arial" w:cs="Arial"/>
          <w:color w:val="000000" w:themeColor="text1"/>
        </w:rPr>
        <w:t>Munira</w:t>
      </w:r>
      <w:proofErr w:type="spellEnd"/>
      <w:r w:rsidR="00027F3E">
        <w:rPr>
          <w:rFonts w:ascii="Arial" w:hAnsi="Arial" w:cs="Arial"/>
          <w:color w:val="000000" w:themeColor="text1"/>
        </w:rPr>
        <w:t xml:space="preserve"> Ahmed</w:t>
      </w:r>
    </w:p>
    <w:p w14:paraId="52BF47DA" w14:textId="1051EE85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Date carried out:</w:t>
      </w:r>
      <w:r w:rsidR="00DC2137" w:rsidRPr="00DC2137">
        <w:rPr>
          <w:rFonts w:ascii="Arial" w:hAnsi="Arial" w:cs="Arial"/>
          <w:color w:val="000000" w:themeColor="text1"/>
        </w:rPr>
        <w:t xml:space="preserve"> 12 February 2022</w:t>
      </w:r>
    </w:p>
    <w:p w14:paraId="52C0F0A5" w14:textId="69E99032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Date of next review:</w:t>
      </w:r>
      <w:r w:rsidR="00DC2137" w:rsidRPr="00DC2137">
        <w:rPr>
          <w:rFonts w:ascii="Arial" w:hAnsi="Arial" w:cs="Arial"/>
          <w:color w:val="000000" w:themeColor="text1"/>
        </w:rPr>
        <w:t xml:space="preserve"> 12 February 2023</w:t>
      </w:r>
    </w:p>
    <w:p w14:paraId="2E06FD9E" w14:textId="7E2A4EAE" w:rsidR="00A40FB6" w:rsidRPr="00DC2137" w:rsidRDefault="00A40FB6">
      <w:pPr>
        <w:rPr>
          <w:rFonts w:ascii="Arial" w:hAnsi="Arial" w:cs="Arial"/>
          <w:color w:val="000000" w:themeColor="text1"/>
        </w:rPr>
      </w:pPr>
    </w:p>
    <w:p w14:paraId="7CC7A92D" w14:textId="757BB960" w:rsidR="00562DE9" w:rsidRPr="007E1C60" w:rsidRDefault="00560A22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27F3E">
        <w:rPr>
          <w:rFonts w:ascii="Arial" w:hAnsi="Arial" w:cs="Arial"/>
          <w:color w:val="000000" w:themeColor="text1"/>
          <w:sz w:val="22"/>
          <w:szCs w:val="22"/>
        </w:rPr>
        <w:t>Workplace overview:</w:t>
      </w:r>
      <w:r w:rsidR="00DC2137" w:rsidRPr="00027F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7F3E" w:rsidRPr="00027F3E">
        <w:rPr>
          <w:rFonts w:ascii="Arial" w:eastAsia="Times New Roman" w:hAnsi="Arial" w:cs="Arial"/>
          <w:sz w:val="22"/>
          <w:szCs w:val="22"/>
          <w:lang w:eastAsia="en-GB"/>
        </w:rPr>
        <w:t>The company has 18 staff, with one being a wheelchair user. The offices contain a kitchen where staff can make drinks and heat food</w:t>
      </w:r>
      <w:r w:rsidR="00027F3E" w:rsidRPr="00027F3E">
        <w:rPr>
          <w:rFonts w:ascii="Arial" w:eastAsia="Times New Roman" w:hAnsi="Arial" w:cs="Arial"/>
          <w:sz w:val="22"/>
          <w:szCs w:val="22"/>
          <w:lang w:eastAsia="en-GB"/>
        </w:rPr>
        <w:t>, and</w:t>
      </w:r>
      <w:r w:rsidR="00027F3E" w:rsidRPr="00027F3E">
        <w:rPr>
          <w:rFonts w:ascii="Arial" w:eastAsia="Times New Roman" w:hAnsi="Arial" w:cs="Arial"/>
          <w:sz w:val="22"/>
          <w:szCs w:val="22"/>
          <w:lang w:eastAsia="en-GB"/>
        </w:rPr>
        <w:t xml:space="preserve"> there are toilet and washing facilities on each floor. The offices are cleaned every evening by contractors, who store the cleaning chemicals in a locked cupboard. The office block is locked from 9 pm to 6 am Monday to Friday and at the weekends. </w:t>
      </w:r>
      <w:r w:rsidR="007E1C60">
        <w:rPr>
          <w:rFonts w:ascii="Arial" w:eastAsia="Times New Roman" w:hAnsi="Arial" w:cs="Arial"/>
          <w:sz w:val="22"/>
          <w:szCs w:val="22"/>
          <w:lang w:eastAsia="en-GB"/>
        </w:rPr>
        <w:br/>
      </w:r>
      <w:r w:rsidR="007E1C60">
        <w:rPr>
          <w:rFonts w:ascii="Arial" w:hAnsi="Arial" w:cs="Arial"/>
          <w:color w:val="000000" w:themeColor="text1"/>
        </w:rPr>
        <w:br/>
      </w:r>
    </w:p>
    <w:tbl>
      <w:tblPr>
        <w:tblStyle w:val="TableGrid"/>
        <w:tblW w:w="0" w:type="auto"/>
        <w:jc w:val="center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2410"/>
        <w:gridCol w:w="1701"/>
        <w:gridCol w:w="1563"/>
      </w:tblGrid>
      <w:tr w:rsidR="00A40FB6" w:rsidRPr="007E1C60" w14:paraId="199E84AA" w14:textId="77777777" w:rsidTr="007E1C60">
        <w:trPr>
          <w:tblHeader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48EDCA0C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Hazard description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EEA77AC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Who might be harmed and how?</w:t>
            </w:r>
          </w:p>
          <w:p w14:paraId="656CF876" w14:textId="7A4D77C6" w:rsidR="00A40FB6" w:rsidRPr="007E1C60" w:rsidRDefault="00A40FB6" w:rsidP="00562D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084B95C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EC7C6E1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257203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Who needs to carry out the action?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493D9D8" w14:textId="77777777" w:rsidR="00A40FB6" w:rsidRPr="007E1C60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1C6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When is the action needed by?</w:t>
            </w:r>
          </w:p>
        </w:tc>
      </w:tr>
      <w:tr w:rsidR="00A40FB6" w:rsidRPr="007E1C60" w14:paraId="034D939C" w14:textId="77777777" w:rsidTr="007E1C60">
        <w:trPr>
          <w:jc w:val="center"/>
        </w:trPr>
        <w:tc>
          <w:tcPr>
            <w:tcW w:w="1980" w:type="dxa"/>
          </w:tcPr>
          <w:p w14:paraId="67833A12" w14:textId="1B72F2C6" w:rsidR="00DC2137" w:rsidRPr="007E1C60" w:rsidRDefault="00027F3E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Slips and trips</w:t>
            </w:r>
          </w:p>
          <w:p w14:paraId="715426A0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0CAEFE24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Staff and visitors may be injured if they trip over objects or </w:t>
            </w:r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slip on</w:t>
            </w:r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spillages. </w:t>
            </w:r>
          </w:p>
          <w:p w14:paraId="445AC328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14:paraId="48C499A4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General good housekeeping. </w:t>
            </w:r>
          </w:p>
          <w:p w14:paraId="74EF6C22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2C3C8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All areas well lit, including stairs. </w:t>
            </w:r>
          </w:p>
          <w:p w14:paraId="422D9F24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58CB6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No trailing leads or cables. </w:t>
            </w:r>
          </w:p>
          <w:p w14:paraId="4B770774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E403D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Staff keep work areas clear, </w:t>
            </w:r>
            <w:proofErr w:type="spellStart"/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no boxes left in walkways, deliveries stored immediately. </w:t>
            </w:r>
          </w:p>
          <w:p w14:paraId="767C21E3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1C6EF" w14:textId="39832055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Offices cleaned every evening. </w:t>
            </w:r>
          </w:p>
          <w:p w14:paraId="68FDB942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0F793547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Better housekeeping in staff kitchen needed, </w:t>
            </w:r>
            <w:proofErr w:type="spellStart"/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on spills. </w:t>
            </w:r>
          </w:p>
          <w:p w14:paraId="196AE259" w14:textId="77777777" w:rsidR="00DC2137" w:rsidRPr="007E1C60" w:rsidRDefault="00DC2137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4A9EB2FF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Arrange for loose carpet tile on second floor to be repaired/replaced. </w:t>
            </w:r>
          </w:p>
          <w:p w14:paraId="68B9101C" w14:textId="37FDA9E1" w:rsidR="00027F3E" w:rsidRPr="007E1C60" w:rsidRDefault="00027F3E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193CB327" w14:textId="48B18D53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All staff, supervisors to monitor </w:t>
            </w:r>
          </w:p>
          <w:p w14:paraId="5E877ECB" w14:textId="0F182331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C26E" w14:textId="7EF766DB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Manager to organise for carpet to be repaired.</w:t>
            </w:r>
          </w:p>
          <w:p w14:paraId="1EABFB09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46CA3B38" w14:textId="611001F8" w:rsidR="00A40FB6" w:rsidRPr="007E1C60" w:rsidRDefault="00027F3E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Immediately</w:t>
            </w:r>
          </w:p>
        </w:tc>
      </w:tr>
      <w:tr w:rsidR="00A40FB6" w:rsidRPr="007E1C60" w14:paraId="1EEEE66A" w14:textId="77777777" w:rsidTr="007E1C60">
        <w:trPr>
          <w:jc w:val="center"/>
        </w:trPr>
        <w:tc>
          <w:tcPr>
            <w:tcW w:w="1980" w:type="dxa"/>
          </w:tcPr>
          <w:p w14:paraId="46FC6AB3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Manual handling of paper, office equipment etc </w:t>
            </w:r>
          </w:p>
          <w:p w14:paraId="52246CE9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2620E0B9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Staff risk injuries or back pain from handling heavy/bulky objects, </w:t>
            </w:r>
            <w:proofErr w:type="spellStart"/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deliveries of paper. </w:t>
            </w:r>
          </w:p>
          <w:p w14:paraId="5A730B0D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14:paraId="2001BAD8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Trolley used to transport boxes of paper and other heavy items when collecting deliveries etc. </w:t>
            </w:r>
          </w:p>
          <w:p w14:paraId="5BA60B59" w14:textId="77777777" w:rsidR="00027F3E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7F9A2" w14:textId="7D69B733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High shelves for light objects only. </w:t>
            </w:r>
          </w:p>
          <w:p w14:paraId="0A7BCB7E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1B552A67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Remind staff that they should not try to lift objects that look or appear too heavy to handle. </w:t>
            </w:r>
          </w:p>
          <w:p w14:paraId="4A3A451D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387A470C" w14:textId="6621AE3A" w:rsidR="00A40FB6" w:rsidRPr="007E1C60" w:rsidRDefault="00027F3E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Manager</w:t>
            </w:r>
          </w:p>
        </w:tc>
        <w:tc>
          <w:tcPr>
            <w:tcW w:w="1563" w:type="dxa"/>
          </w:tcPr>
          <w:p w14:paraId="46046536" w14:textId="1FA76B38" w:rsidR="00A40FB6" w:rsidRPr="007E1C60" w:rsidRDefault="00027F3E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April 2022</w:t>
            </w:r>
          </w:p>
        </w:tc>
      </w:tr>
      <w:tr w:rsidR="007E1C60" w:rsidRPr="007E1C60" w14:paraId="549C1C10" w14:textId="77777777" w:rsidTr="007E1C60">
        <w:trPr>
          <w:jc w:val="center"/>
        </w:trPr>
        <w:tc>
          <w:tcPr>
            <w:tcW w:w="1980" w:type="dxa"/>
          </w:tcPr>
          <w:p w14:paraId="14CE3C38" w14:textId="77777777" w:rsidR="007E1C60" w:rsidRPr="007E1C60" w:rsidRDefault="007E1C60" w:rsidP="007E1C6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lastRenderedPageBreak/>
              <w:t xml:space="preserve">Display screen equipment </w:t>
            </w:r>
          </w:p>
          <w:p w14:paraId="3245B645" w14:textId="77777777" w:rsidR="007E1C60" w:rsidRPr="007E1C60" w:rsidRDefault="007E1C60" w:rsidP="00027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20808B" w14:textId="77777777" w:rsidR="007E1C60" w:rsidRPr="007E1C60" w:rsidRDefault="007E1C60" w:rsidP="007E1C6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Staff risk posture problems and pain, discomfort or injuries, </w:t>
            </w:r>
            <w:proofErr w:type="spellStart"/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to their hands/ arms, from overuse or improper use or from poorly designed workstations or work environments. Headaches or sore eyes can also occur, </w:t>
            </w:r>
            <w:proofErr w:type="spellStart"/>
            <w:proofErr w:type="gramStart"/>
            <w:r w:rsidRPr="007E1C6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7E1C60">
              <w:rPr>
                <w:rFonts w:ascii="Arial" w:hAnsi="Arial" w:cs="Arial"/>
                <w:sz w:val="22"/>
                <w:szCs w:val="22"/>
              </w:rPr>
              <w:t xml:space="preserve"> if the lighting is poor. </w:t>
            </w:r>
          </w:p>
          <w:p w14:paraId="376E44DE" w14:textId="77777777" w:rsidR="007E1C60" w:rsidRPr="007E1C60" w:rsidRDefault="007E1C60" w:rsidP="00027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C1C91B4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Workstation and equipment set to ensure good posture and to avoid glare and reflections on the screen. </w:t>
            </w:r>
          </w:p>
          <w:p w14:paraId="1D036A75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B39FB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Shared workstations are assessed for all users.</w:t>
            </w:r>
          </w:p>
          <w:p w14:paraId="44F3BB3C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9CC2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Work planned to include regular breaks or change of activity.</w:t>
            </w:r>
          </w:p>
          <w:p w14:paraId="192722F6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E9924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Lighting and temperature suitably controlled. </w:t>
            </w:r>
          </w:p>
          <w:p w14:paraId="2BD00D37" w14:textId="77777777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62895" w14:textId="18AA1AD2" w:rsidR="007E1C60" w:rsidRPr="007E1C60" w:rsidRDefault="007E1C60" w:rsidP="007E1C6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Adjustable blinds at window to control natural light on screen</w:t>
            </w:r>
          </w:p>
          <w:p w14:paraId="1C54BD49" w14:textId="77777777" w:rsidR="007E1C60" w:rsidRPr="007E1C60" w:rsidRDefault="007E1C60" w:rsidP="00027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AC51D5" w14:textId="7ACC5761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Tell staff that they are to inform their manager of any pain they have that may be linked to computer use. </w:t>
            </w:r>
          </w:p>
          <w:p w14:paraId="0C411FF3" w14:textId="39735C8F" w:rsidR="007E1C60" w:rsidRPr="007E1C60" w:rsidRDefault="007E1C60" w:rsidP="007E1C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4D88C" w14:textId="77777777" w:rsidR="007E1C60" w:rsidRPr="007E1C60" w:rsidRDefault="007E1C60" w:rsidP="007E1C6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Broken window blind near accounts section – letter to landlord. </w:t>
            </w:r>
          </w:p>
          <w:p w14:paraId="19B2A508" w14:textId="77777777" w:rsidR="007E1C60" w:rsidRPr="007E1C60" w:rsidRDefault="007E1C60" w:rsidP="007E1C6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9EE5BAE" w14:textId="77777777" w:rsidR="007E1C60" w:rsidRPr="007E1C60" w:rsidRDefault="007E1C60" w:rsidP="00027F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400AF6" w14:textId="78BAD3E3" w:rsidR="007E1C60" w:rsidRPr="007E1C60" w:rsidRDefault="007E1C60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Manager</w:t>
            </w:r>
          </w:p>
        </w:tc>
        <w:tc>
          <w:tcPr>
            <w:tcW w:w="1563" w:type="dxa"/>
          </w:tcPr>
          <w:p w14:paraId="5BF156CF" w14:textId="22855C69" w:rsidR="007E1C60" w:rsidRPr="007E1C60" w:rsidRDefault="007E1C60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Immediately</w:t>
            </w:r>
          </w:p>
        </w:tc>
      </w:tr>
      <w:tr w:rsidR="00A40FB6" w:rsidRPr="007E1C60" w14:paraId="045B2F84" w14:textId="77777777" w:rsidTr="007E1C60">
        <w:trPr>
          <w:jc w:val="center"/>
        </w:trPr>
        <w:tc>
          <w:tcPr>
            <w:tcW w:w="1980" w:type="dxa"/>
          </w:tcPr>
          <w:p w14:paraId="0F6A0603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Stress</w:t>
            </w:r>
          </w:p>
          <w:p w14:paraId="4E0A2927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1B8DF159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All staff could be affected by factors such as lack of job control, bullying, not knowing their role etc.</w:t>
            </w:r>
          </w:p>
          <w:p w14:paraId="76D9A34B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14:paraId="32C399F0" w14:textId="77777777" w:rsidR="007F3982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Staff understand what their duties and responsibilities are.</w:t>
            </w:r>
          </w:p>
          <w:p w14:paraId="21F3D346" w14:textId="77777777" w:rsidR="007F3982" w:rsidRPr="007E1C60" w:rsidRDefault="007F3982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79FD1" w14:textId="77777777" w:rsidR="007F3982" w:rsidRPr="007E1C60" w:rsidRDefault="00027F3E" w:rsidP="00027F3E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Staff can talk to supervisors or manager if they are feeling unwell or at ease about things at work. </w:t>
            </w:r>
          </w:p>
          <w:p w14:paraId="50D62018" w14:textId="77777777" w:rsidR="007F3982" w:rsidRPr="007E1C60" w:rsidRDefault="007F3982" w:rsidP="00027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6F2F3" w14:textId="7DDAE026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‘No bullying’ policy. </w:t>
            </w:r>
          </w:p>
          <w:p w14:paraId="165A6431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736F97FD" w14:textId="77777777" w:rsidR="00027F3E" w:rsidRPr="007E1C60" w:rsidRDefault="00027F3E" w:rsidP="00027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Remind staff they can speak confidentially to their manager or supervisors if they are feeling unwell or </w:t>
            </w:r>
            <w:proofErr w:type="spellStart"/>
            <w:r w:rsidRPr="007E1C60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7E1C60">
              <w:rPr>
                <w:rFonts w:ascii="Arial" w:hAnsi="Arial" w:cs="Arial"/>
                <w:sz w:val="22"/>
                <w:szCs w:val="22"/>
              </w:rPr>
              <w:t xml:space="preserve"> ill at ease because of work.</w:t>
            </w:r>
          </w:p>
          <w:p w14:paraId="24C26DAA" w14:textId="74E17212" w:rsidR="00583A4D" w:rsidRPr="007E1C60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1F5DFA2" w14:textId="4619EA2D" w:rsidR="00A40FB6" w:rsidRPr="007E1C60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Manager</w:t>
            </w:r>
          </w:p>
        </w:tc>
        <w:tc>
          <w:tcPr>
            <w:tcW w:w="1563" w:type="dxa"/>
          </w:tcPr>
          <w:p w14:paraId="609131A0" w14:textId="6E5FE180" w:rsidR="00A40FB6" w:rsidRPr="007E1C60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7E1C60">
              <w:rPr>
                <w:rFonts w:ascii="Arial" w:hAnsi="Arial" w:cs="Arial"/>
                <w:szCs w:val="22"/>
              </w:rPr>
              <w:t>March 2022.</w:t>
            </w:r>
          </w:p>
        </w:tc>
      </w:tr>
      <w:tr w:rsidR="00A40FB6" w:rsidRPr="007E1C60" w14:paraId="70729C93" w14:textId="77777777" w:rsidTr="007E1C60">
        <w:trPr>
          <w:jc w:val="center"/>
        </w:trPr>
        <w:tc>
          <w:tcPr>
            <w:tcW w:w="1980" w:type="dxa"/>
          </w:tcPr>
          <w:p w14:paraId="1D517A55" w14:textId="77777777" w:rsidR="007F3982" w:rsidRPr="007E1C60" w:rsidRDefault="007F3982" w:rsidP="007F39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Fire</w:t>
            </w:r>
          </w:p>
          <w:p w14:paraId="393A7BC6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14:paraId="3ACF0F96" w14:textId="77777777" w:rsidR="007F3982" w:rsidRPr="007E1C60" w:rsidRDefault="007F3982" w:rsidP="007F398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If trapped, staff could suffer fatal injuries from smoke inhalation/ burns. </w:t>
            </w:r>
          </w:p>
          <w:p w14:paraId="13AB23D7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678" w:type="dxa"/>
          </w:tcPr>
          <w:p w14:paraId="477A8F8A" w14:textId="42BB1E01" w:rsidR="00956F72" w:rsidRPr="007E1C60" w:rsidRDefault="007F3982" w:rsidP="00956F72">
            <w:pPr>
              <w:rPr>
                <w:rFonts w:ascii="Arial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 xml:space="preserve">Biannual fire drills. </w:t>
            </w:r>
          </w:p>
          <w:p w14:paraId="1F7AF57D" w14:textId="4B28902E" w:rsidR="007F3982" w:rsidRPr="007E1C60" w:rsidRDefault="007F3982" w:rsidP="00956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01165" w14:textId="6BAE3403" w:rsidR="007F3982" w:rsidRPr="007E1C60" w:rsidRDefault="007F3982" w:rsidP="00956F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Fire alarm test every month.</w:t>
            </w:r>
          </w:p>
          <w:p w14:paraId="278A9878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14:paraId="20A17620" w14:textId="77777777" w:rsidR="00956F72" w:rsidRPr="007E1C60" w:rsidRDefault="00956F72" w:rsidP="00956F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E1C60">
              <w:rPr>
                <w:rFonts w:ascii="Arial" w:hAnsi="Arial" w:cs="Arial"/>
                <w:sz w:val="22"/>
                <w:szCs w:val="22"/>
              </w:rPr>
              <w:t>No further action required.</w:t>
            </w:r>
          </w:p>
          <w:p w14:paraId="0B07F143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ABF5D9F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2A778523" w14:textId="77777777" w:rsidR="00A40FB6" w:rsidRPr="007E1C60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</w:tbl>
    <w:p w14:paraId="05AC9571" w14:textId="77777777" w:rsidR="00562DE9" w:rsidRPr="00DC2137" w:rsidRDefault="00562DE9">
      <w:pPr>
        <w:rPr>
          <w:rFonts w:ascii="Arial" w:hAnsi="Arial" w:cs="Arial"/>
          <w:color w:val="000000" w:themeColor="text1"/>
        </w:rPr>
      </w:pPr>
    </w:p>
    <w:sectPr w:rsidR="00562DE9" w:rsidRPr="00DC2137" w:rsidSect="00562D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E9"/>
    <w:rsid w:val="00027F3E"/>
    <w:rsid w:val="003658F2"/>
    <w:rsid w:val="004055F8"/>
    <w:rsid w:val="00431C60"/>
    <w:rsid w:val="00560A22"/>
    <w:rsid w:val="00562DE9"/>
    <w:rsid w:val="00583A4D"/>
    <w:rsid w:val="007E1C60"/>
    <w:rsid w:val="007F3982"/>
    <w:rsid w:val="00956F72"/>
    <w:rsid w:val="00A40FB6"/>
    <w:rsid w:val="00D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99B71"/>
  <w15:chartTrackingRefBased/>
  <w15:docId w15:val="{EF88667B-8844-7D4C-8C76-7E27854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562DE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562DE9"/>
    <w:rPr>
      <w:rFonts w:ascii="Helvetica" w:eastAsiaTheme="majorEastAsia" w:hAnsi="Helvetica" w:cstheme="majorBidi"/>
      <w:b/>
      <w:bCs/>
      <w:color w:val="FFFFFF" w:themeColor="background1"/>
    </w:rPr>
  </w:style>
  <w:style w:type="table" w:styleId="TableGrid">
    <w:name w:val="Table Grid"/>
    <w:basedOn w:val="TableNormal"/>
    <w:uiPriority w:val="59"/>
    <w:rsid w:val="00562D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562DE9"/>
    <w:rPr>
      <w:rFonts w:ascii="Helvetica" w:eastAsiaTheme="minorEastAsi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Kelly</dc:creator>
  <cp:keywords/>
  <dc:description/>
  <cp:lastModifiedBy>Alex Kelly</cp:lastModifiedBy>
  <cp:revision>2</cp:revision>
  <dcterms:created xsi:type="dcterms:W3CDTF">2022-02-08T22:43:00Z</dcterms:created>
  <dcterms:modified xsi:type="dcterms:W3CDTF">2022-02-08T22:43:00Z</dcterms:modified>
</cp:coreProperties>
</file>